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400"/>
        <w:jc w:val="both"/>
        <w:rPr>
          <w:rFonts w:hint="eastAsia" w:asciiTheme="minorEastAsia" w:hAnsiTheme="minorEastAsia" w:eastAsiaTheme="minorEastAsia" w:cstheme="minorEastAsia"/>
          <w:b/>
          <w:bCs/>
          <w:sz w:val="84"/>
          <w:szCs w:val="84"/>
          <w:lang w:val="en-US" w:eastAsia="zh-CN"/>
        </w:rPr>
      </w:pPr>
      <w:r>
        <w:rPr>
          <w:rFonts w:hint="eastAsia" w:asciiTheme="minorEastAsia" w:hAnsiTheme="minorEastAsia" w:cstheme="minorEastAsia"/>
          <w:b/>
          <w:bCs/>
          <w:sz w:val="84"/>
          <w:szCs w:val="84"/>
          <w:lang w:val="en-US" w:eastAsia="zh-CN"/>
        </w:rPr>
        <w:t>财</w:t>
      </w:r>
    </w:p>
    <w:p>
      <w:pPr>
        <w:ind w:firstLine="3373" w:firstLineChars="400"/>
        <w:jc w:val="both"/>
        <w:rPr>
          <w:rFonts w:hint="eastAsia" w:asciiTheme="minorEastAsia" w:hAnsiTheme="minorEastAsia" w:cstheme="minorEastAsia"/>
          <w:b/>
          <w:bCs/>
          <w:sz w:val="84"/>
          <w:szCs w:val="84"/>
          <w:lang w:eastAsia="zh-CN"/>
        </w:rPr>
      </w:pPr>
      <w:r>
        <w:rPr>
          <w:rFonts w:hint="eastAsia" w:asciiTheme="minorEastAsia" w:hAnsiTheme="minorEastAsia" w:cstheme="minorEastAsia"/>
          <w:b/>
          <w:bCs/>
          <w:sz w:val="84"/>
          <w:szCs w:val="84"/>
          <w:lang w:eastAsia="zh-CN"/>
        </w:rPr>
        <w:t>务</w:t>
      </w:r>
    </w:p>
    <w:p>
      <w:pPr>
        <w:ind w:firstLine="3373" w:firstLineChars="400"/>
        <w:jc w:val="both"/>
        <w:rPr>
          <w:rFonts w:hint="eastAsia" w:asciiTheme="minorEastAsia" w:hAnsiTheme="minorEastAsia" w:cstheme="minorEastAsia"/>
          <w:b/>
          <w:bCs/>
          <w:sz w:val="84"/>
          <w:szCs w:val="84"/>
          <w:lang w:eastAsia="zh-CN"/>
        </w:rPr>
      </w:pPr>
      <w:r>
        <w:rPr>
          <w:rFonts w:hint="eastAsia" w:asciiTheme="minorEastAsia" w:hAnsiTheme="minorEastAsia" w:cstheme="minorEastAsia"/>
          <w:b/>
          <w:bCs/>
          <w:sz w:val="84"/>
          <w:szCs w:val="84"/>
          <w:lang w:eastAsia="zh-CN"/>
        </w:rPr>
        <w:t>管</w:t>
      </w:r>
    </w:p>
    <w:p>
      <w:pPr>
        <w:ind w:firstLine="3373" w:firstLineChars="400"/>
        <w:jc w:val="both"/>
        <w:rPr>
          <w:rFonts w:hint="eastAsia" w:asciiTheme="minorEastAsia" w:hAnsiTheme="minorEastAsia" w:cstheme="minorEastAsia"/>
          <w:b/>
          <w:bCs/>
          <w:sz w:val="84"/>
          <w:szCs w:val="84"/>
          <w:lang w:eastAsia="zh-CN"/>
        </w:rPr>
      </w:pPr>
      <w:r>
        <w:rPr>
          <w:rFonts w:hint="eastAsia" w:asciiTheme="minorEastAsia" w:hAnsiTheme="minorEastAsia" w:cstheme="minorEastAsia"/>
          <w:b/>
          <w:bCs/>
          <w:sz w:val="84"/>
          <w:szCs w:val="84"/>
          <w:lang w:eastAsia="zh-CN"/>
        </w:rPr>
        <w:t>理</w:t>
      </w:r>
    </w:p>
    <w:p>
      <w:pPr>
        <w:ind w:firstLine="3373" w:firstLineChars="400"/>
        <w:jc w:val="both"/>
        <w:rPr>
          <w:rFonts w:hint="default" w:asciiTheme="minorEastAsia" w:hAnsiTheme="minorEastAsia" w:eastAsiaTheme="minorEastAsia" w:cstheme="minorEastAsia"/>
          <w:b/>
          <w:bCs/>
          <w:sz w:val="84"/>
          <w:szCs w:val="84"/>
          <w:lang w:val="en-US" w:eastAsia="zh-CN"/>
        </w:rPr>
      </w:pPr>
      <w:r>
        <w:rPr>
          <w:rFonts w:hint="eastAsia" w:asciiTheme="minorEastAsia" w:hAnsiTheme="minorEastAsia" w:eastAsiaTheme="minorEastAsia" w:cstheme="minorEastAsia"/>
          <w:b/>
          <w:bCs/>
          <w:sz w:val="84"/>
          <w:szCs w:val="84"/>
          <w:lang w:eastAsia="zh-CN"/>
        </w:rPr>
        <w:t>培</w:t>
      </w:r>
    </w:p>
    <w:p>
      <w:pPr>
        <w:ind w:firstLine="3373" w:firstLineChars="400"/>
        <w:jc w:val="both"/>
        <w:rPr>
          <w:rFonts w:hint="eastAsia" w:asciiTheme="minorEastAsia" w:hAnsiTheme="minorEastAsia" w:eastAsiaTheme="minorEastAsia" w:cstheme="minorEastAsia"/>
          <w:b/>
          <w:bCs/>
          <w:sz w:val="84"/>
          <w:szCs w:val="84"/>
          <w:lang w:eastAsia="zh-CN"/>
        </w:rPr>
      </w:pPr>
      <w:r>
        <w:rPr>
          <w:rFonts w:hint="eastAsia" w:asciiTheme="minorEastAsia" w:hAnsiTheme="minorEastAsia" w:eastAsiaTheme="minorEastAsia" w:cstheme="minorEastAsia"/>
          <w:b/>
          <w:bCs/>
          <w:sz w:val="84"/>
          <w:szCs w:val="84"/>
          <w:lang w:eastAsia="zh-CN"/>
        </w:rPr>
        <w:t>训</w:t>
      </w:r>
    </w:p>
    <w:p>
      <w:pPr>
        <w:ind w:firstLine="3373" w:firstLineChars="400"/>
        <w:jc w:val="both"/>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大</w:t>
      </w:r>
    </w:p>
    <w:p>
      <w:pPr>
        <w:ind w:firstLine="3373" w:firstLineChars="400"/>
        <w:jc w:val="both"/>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纲</w:t>
      </w:r>
    </w:p>
    <w:p>
      <w:pPr>
        <w:jc w:val="center"/>
        <w:rPr>
          <w:rFonts w:hint="eastAsia" w:asciiTheme="minorEastAsia" w:hAnsiTheme="minorEastAsia" w:eastAsiaTheme="minorEastAsia" w:cstheme="minorEastAsia"/>
          <w:b/>
          <w:bCs/>
          <w:sz w:val="84"/>
          <w:szCs w:val="8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本课程教学目的和</w:t>
      </w:r>
      <w:r>
        <w:rPr>
          <w:rFonts w:hint="eastAsia" w:asciiTheme="minorEastAsia" w:hAnsiTheme="minorEastAsia" w:cstheme="minorEastAsia"/>
          <w:b/>
          <w:bCs/>
          <w:sz w:val="30"/>
          <w:szCs w:val="30"/>
          <w:lang w:eastAsia="zh-CN"/>
        </w:rPr>
        <w:t>培训目标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课程名称：</w:t>
      </w:r>
      <w:r>
        <w:rPr>
          <w:rFonts w:hint="eastAsia" w:asciiTheme="minorEastAsia" w:hAnsiTheme="minorEastAsia" w:cstheme="minorEastAsia"/>
          <w:sz w:val="22"/>
          <w:szCs w:val="22"/>
          <w:lang w:eastAsia="zh-CN"/>
        </w:rPr>
        <w:t>财务管理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420" w:lineRule="atLeast"/>
        <w:ind w:left="0" w:right="0" w:firstLine="0"/>
        <w:jc w:val="both"/>
        <w:rPr>
          <w:rFonts w:ascii="Arial" w:hAnsi="Arial" w:cs="Arial"/>
          <w:i w:val="0"/>
          <w:caps w:val="0"/>
          <w:color w:val="333333"/>
          <w:spacing w:val="0"/>
          <w:sz w:val="22"/>
          <w:szCs w:val="22"/>
        </w:rPr>
      </w:pPr>
      <w:r>
        <w:rPr>
          <w:rFonts w:hint="eastAsia" w:asciiTheme="minorEastAsia" w:hAnsiTheme="minorEastAsia" w:eastAsiaTheme="minorEastAsia" w:cstheme="minorEastAsia"/>
          <w:sz w:val="22"/>
          <w:szCs w:val="22"/>
        </w:rPr>
        <w:t>（二）适用专业：非会计的经济管理专业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t>（</w:t>
      </w:r>
      <w:r>
        <w:rPr>
          <w:rFonts w:hint="eastAsia" w:asciiTheme="minorEastAsia" w:hAnsiTheme="minorEastAsia" w:cstheme="minorEastAsia"/>
          <w:sz w:val="22"/>
          <w:szCs w:val="22"/>
          <w:lang w:eastAsia="zh-CN"/>
        </w:rPr>
        <w:t>三</w:t>
      </w:r>
      <w:r>
        <w:rPr>
          <w:rFonts w:hint="eastAsia" w:asciiTheme="minorEastAsia" w:hAnsiTheme="minorEastAsia" w:eastAsiaTheme="minorEastAsia" w:cstheme="minorEastAsia"/>
          <w:sz w:val="22"/>
          <w:szCs w:val="22"/>
        </w:rPr>
        <w:t>）</w:t>
      </w:r>
      <w:r>
        <w:rPr>
          <w:rFonts w:hint="eastAsia" w:asciiTheme="minorEastAsia" w:hAnsiTheme="minorEastAsia" w:cstheme="minorEastAsia"/>
          <w:sz w:val="22"/>
          <w:szCs w:val="22"/>
          <w:lang w:val="en-US" w:eastAsia="zh-CN"/>
        </w:rPr>
        <w:t>学时：16课时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教学目的：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880" w:firstLineChars="4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财务管理》是一门经济管理的应用科学，其以企业资金运动为纲，系统地阐述在资金筹集、投放、耗费、收入和分配管理中进行预测、决策、计划、控制和分析的理论和方法问题，主要研究公司的筹资、投资和收益分配。主要内容是阐述财务管理管理的基本理论、基本技能和基本方法。通过对该课程的学习，能比较完整地掌握财务管理的基本理论框架，并能把它们运用于实践当中。</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2"/>
          <w:szCs w:val="22"/>
          <w:lang w:val="en-US" w:eastAsia="zh-CN"/>
        </w:rPr>
        <w:t>（五）培训目标：</w:t>
      </w:r>
      <w:r>
        <w:rPr>
          <w:rFonts w:hint="eastAsia" w:asciiTheme="minorEastAsia" w:hAnsiTheme="minorEastAsia" w:cstheme="minorEastAsia"/>
          <w:sz w:val="20"/>
          <w:szCs w:val="20"/>
          <w:lang w:val="en-US" w:eastAsia="zh-CN"/>
        </w:rPr>
        <w:t>本课程的教学目的在于使学生能够深刻理解和掌握财务管理的基本理论、应用原则和分析方法与企业的财务管理实践相结合，提高解决实际问题的能力，为以后更深层次的学习和工作打下基础。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300"/>
        <w:jc w:val="both"/>
        <w:textAlignment w:val="auto"/>
        <w:rPr>
          <w:rFonts w:hint="eastAsia" w:asciiTheme="minorEastAsia" w:hAnsiTheme="minorEastAsia" w:cstheme="minorEastAsia"/>
          <w:sz w:val="20"/>
          <w:szCs w:val="2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基本要求</w:t>
      </w:r>
      <w:r>
        <w:rPr>
          <w:rFonts w:hint="eastAsia" w:asciiTheme="minorEastAsia" w:hAnsiTheme="minorEastAsia" w:cstheme="minorEastAsia"/>
          <w:b/>
          <w:bCs/>
          <w:sz w:val="30"/>
          <w:szCs w:val="30"/>
          <w:lang w:eastAsia="zh-CN"/>
        </w:rPr>
        <w:t>及内容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（一）本课程的基本要求 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习《财务管理》课程，总的要求是要掌握财务管理的基本理论、基本方法和基本技能。并在学习中处理好全面与重点、理解与记忆、原理与方法的关系。在学习与理解过程中，还要注意公司各财务活动之间、各财务管理环节之间的相互联系。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财务管理是一门实用性很强的综合性学科，教学过程中主要采取以下方式： 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1、日常的面授辅导着重于重点的归纳、难点的剖析，详细阐述本课程的基本原理、基本观点。 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2、适当安排案例讨论，增强同学解决实际问题的能力。 3、日常教学过程中安排必要的作业。</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（二）主要内容 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1.财务管理的基本理论：阐述财务管理管理的概念、内容、目标、原则、体制、数学基础等基本问题； 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2.财务管理的两个基本观念：资金时间价值观念和资金风险价值观念； 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3.财务报表分析：财务报表分析的主要内容； 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4.公司筹资管理：阐述公司筹资动机、筹资渠道、筹资方式、筹资组合、筹资管理方法和技巧等基本问题； 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30" w:firstLineChars="3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5.公司投资管理：阐述公司投资的目的、投资组合、投资决策等基本问题； 6.公司收益分配管理：阐述公司收益分配的原则和方法等基本问题。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b/>
          <w:bCs/>
          <w:sz w:val="32"/>
          <w:szCs w:val="32"/>
          <w:lang w:val="en-US" w:eastAsia="zh-CN"/>
        </w:rPr>
        <w:t>三、培训章节讲授内容及标准： 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b/>
          <w:bCs/>
          <w:sz w:val="21"/>
          <w:szCs w:val="21"/>
          <w:lang w:val="en-US" w:eastAsia="zh-CN"/>
        </w:rPr>
        <w:t xml:space="preserve"> 第一章  财务管理总论 （2学时） 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过本章学习，掌握财务管理的含义，财务活动及财务管理内容，财务管理目标的各种观点及各种观点的优缺点，尤其是掌握股东财富最大化和企业价值最大化目标；掌握股东，经营者和债权人之间的利益冲突及解决冲突的对策；熟悉财务管理环境，掌握金融环境主要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1.了解企业资金运动，财务管理，资金筹集、资金投放、资金耗费、资金收入和资金分配，财务关系等概念，熟悉财务管理的概念、内容和特点，企业资金运动所形成的财务关系。 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2.了解财务管理目标的概念，熟悉利润最大化、财富（价值）最大化，掌握影响财务管理目标实现的因素。 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3.了解财务管理原则，熟悉资金合理配置原则，收支积极平衡原则，成本效益原则，收益风险均衡原则，利益关系协调原则，分级分权原则。 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4.了解财务管理环节，财务预测、财务计划、财务控制、财务分析和财务检查，熟悉各种财务管理环节包括的内容。 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本章重点：财务管理的主要内容，即筹资活动的管理、投资活动的管理、经营活动的管理、分配活动的管理。 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本章难点：财务管理的目标。 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1.财务管理的主要内容是什么？ 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2.财务管理的主要目标是什么？几种观点的缺陷性分别是什么？ 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3.财务管理中如何协调财务关系人？ 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4.名词解释：企业价值最大化、股东财富最大化 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7" w:firstLineChars="900"/>
        <w:jc w:val="both"/>
        <w:textAlignment w:val="auto"/>
        <w:rPr>
          <w:rFonts w:hint="eastAsia" w:asciiTheme="minorEastAsia" w:hAnsiTheme="minorEastAsia" w:cstheme="minor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7" w:firstLineChars="900"/>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第二章   财务分析（2学时） 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过学习，了解财务分析。熟悉财务分析的意义，财务分析的要求，财务分析的资料来源；了解比较分析法，比率分析法，趋势分析法。熟悉五类财务比率，编制比较财务报表进行趋势分析应注意的问题；了解营运资本，流动比率，速动比率，现金比率，负债比率，股东权益比率，产权比率，有形净值债务率，利息赚取倍数。熟悉偿债能力的评价；了解营业周期，存货周转率，应收帐款周转率，流动资产周转率，固定资产周转，总资产周转率。熟悉企业资金周转状况的评价；了解销售毛利率、销售利税率、净利润率、成本费用率，资产报酬率、权益报酬率，每股利润、每股股利、股利支付率、市盈率、每股帐面价值。熟悉盈利能力的评价。 （二）课程内容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财务分析概述：</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（1）财务分析的概念；（2）财务分析的要求；（3）财务分析的资料来源。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2.财务分析方法。 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3.偿债能力的分析：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（1）短期偿债能力的分析；（2）长期偿债能力分析。 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4.企业营运能力分析：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（1）反映资金周转状况的指标；（2）资产、负债及所有者权益变动的趋势分析。 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5.企业获利能力的分析。 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本章重点：财务分析的内容。 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本章难点：影响财务报表分析真实性的其他因素。 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1.财务分析的意义、财务分析的要求及财务分析的资料来源分别是什么？ 2.财务报表分析有何局限性？ 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3.若企业已获利息倍数&lt;1，能否在短期内正常支付债务利息？为什么？ 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4.若营业周期越短，则流动比率是越大还是越小？ 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5.影响流动比率的其他因素有哪些？ 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6.在计算速动比率时，为何要将存货从流动资产中剔除？ 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7.存货周转率和应收帐款周转率是不是越大越好，为什么？ 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（五）说明 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本章除课堂讲授外，还需2学时的实验教学，主要是要求学生能掌握报表分析的基本内容，尤其是财务报表的综合分析方法。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3" w:firstLineChars="400"/>
        <w:jc w:val="both"/>
        <w:textAlignment w:val="auto"/>
        <w:rPr>
          <w:rFonts w:hint="eastAsia" w:asciiTheme="minorEastAsia" w:hAnsiTheme="minorEastAsia" w:cstheme="minor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3" w:firstLineChars="400"/>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第三章   资金时间价值观念和资金风险价值观念（2学时） 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过学习，首先，掌握时间价值的概念，熟练掌握单利、复利的区别及各自的终值和现值的计算，学会查复利终值和现值系数表；其次，要求掌握年金，普通年金、预付年金、递延年金和永续年金的基本概念和区别，学会计算各种年金的终值和现值，尤其是预付年金终值和现值的计算，及其与普通年金现值与终值计算的应用，学会查年金终值和现值系数表；学会利用复利和年金求年限和利率，学会使用插入法；再者，掌握风险的基本概念和分类以及期望报酬率、标准差、标准差率、置信概率和置信区间的计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1.资金时间价值：（1）资金时间价值的含义及实质；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（2）复利现值和复利终值的计算；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（3）普通年金、先付年金的终值和现值的计算；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（4）递延年金、永续年金的现值计算。 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2.资金风险价值观念：（1）风险的含义及分类；（2）风险大小的衡量；（3）风险价值的计算。 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本章重点：资金时间价值和风险价值的计算。 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本章难点：理解“高风险高收益”，以及对于高风险如何进行补偿。 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1.资金时间价值的含义和本质是什么？ 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2.如何理解"高风险、高收益"？ 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3.风险的分类？ 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4.证券投资组合中的风险是系统风险，还是非系统风险，还是指所有的风险？ 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5.名词解释：资金时间价值、风险。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7" w:firstLineChars="900"/>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第四章  筹资管理（授课2学时） 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重点掌握普通股、债券等各种融资方式的优缺点、股票上市的优缺点、普通股股东的权利、债券发行价格的确定、营运资金政策、资金成本的计算与作用、杠杆原理与融资决策、合理资本结构决策；掌握股票发行的条件和发行价格、发行债券的资格和条件、短期负债筹资各种情况下（现金折扣、补偿性余额等）实际利率的计算的内容；了解长期借款的保护性条款、普通股、债券、长期借款的种类、股票发行程序、股票发行方式和销售方式、取得长期借款的条件、债券发行的程序等有关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1.企业筹资渠道和筹资方式。 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2.资金成本的确定：（1）资金成本的概念和意义；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（2）个别资金成本；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（3）加权平均资金成本；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1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（4）边际资本成本。 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3.资风险的衡量：（1）经营杠杆（DOL系数）；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（2）财务杠杆（DFL系数）；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（3）复合杠杆（DTL系数）。 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4.最佳筹资结构：EPS无差别点方法。 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本章重点:资金筹集方式和渠道、筹资成本的计算。 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本章难点：最佳筹资结构的确定，即，每股盈余分析法、综合资金成本决策法和市场价值决策法。 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1．各种筹资方式的优缺点？权益筹资和负债筹资的区别是什么？ 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2．简述银行借款的几种信用条件及其对实际利率的影响。 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3．为什么要计算资本成本，而不是资金成本？资金和资本有何区别？ 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4．名词解释：经营杠杆、财务杠杆、EPS无差别点、资本成本。 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（五）说明 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本章除课堂讲授外，还需4学时的实验教学，主要是要求学生能计算筹资的资本成本及确定最佳资本结构。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7" w:firstLineChars="800"/>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第五章  固定资产投资管理（授课2学时） 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首先应重点领会现金流量和现金净流量的概念，确定现金流量应重视的四个问题以及利润和现金流量的联系与区别等内容，掌握付现成本的计算和会计收益率的计算等内容，了解固定资产投资决策的程序、现金流入量的表现形式和现金流出量的表现形式等内容；其次，重点掌握并熟练应用各种投资决策指标于实际工作中。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1.对外投资概述： 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（1）对外投资的种类；（2）对外投资的目的；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（3）对外投资的原则；（4）对外投资的决策依据。 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2.营业现金流量：（1）营业现金流量的含义；（2）营业现金流量的内容和计算。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3.投资决策指标：（1）贴现指标：NPV法、IRR法；（2）非贴现指标：投资回收期法、会计收益率法。 4.固定资产更新决策。 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本章重点：投资决策指标（贴现指标），即净现值、现值指数和内含报酬率的概念、计算及各指标的运用。 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本章难点：固定资产更新决策，如何在考虑资金时间的基础上，运用现金流量的观点进行固定资产更新决策。 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1.在投资决策中，为什么用现金流量替代利润指标？两者有何区别和联系？ 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2.投资决策的程序。 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3.营业现金流量的构成。 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4.名词解释：机会成本、沉没成本、营业现金流量、内含报酬率。 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（五）说明 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本章除课堂讲授外，还需4学时的实验教学，主要是要求学生综合应用投资决策指标进行投资决策的模拟实验。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7" w:firstLineChars="800"/>
        <w:jc w:val="both"/>
        <w:textAlignment w:val="auto"/>
        <w:rPr>
          <w:rFonts w:hint="eastAsia" w:asciiTheme="minorEastAsia" w:hAnsiTheme="minorEastAsia" w:cstheme="minor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7" w:firstLineChars="8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第六章 证券投资管理（2学时）</w:t>
      </w:r>
      <w:r>
        <w:rPr>
          <w:rFonts w:hint="eastAsia" w:asciiTheme="minorEastAsia" w:hAnsiTheme="minorEastAsia" w:cstheme="minorEastAsia"/>
          <w:sz w:val="21"/>
          <w:szCs w:val="21"/>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了解债券投资的概念，政府债券、金融债券、企业债券，股票投资的概念。熟悉债券投资的特点，股票投资的特点。熟练掌握债券购入价格的确定，债券投资收益的确定，债券投资的决策；是否进行债券投资的决策、债券投资对象的决策、债券投资结构的决策，股票的估价；长期持有、股利不变；长期持有、股利固定增长；短期持有、未来准备出售，股票投资收益分析；股利收益、资产增值收益、买卖差价收益，股票投资价值的确认，股票投资的决策。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证券投资的基本概念：债券投资、股票投资的特点、分类；</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债券投资决策：债券价值和债券到期收益率； 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股票投资决策：股票价值和股票预期收益率。 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本章重点：债券价值计算的基本模型、股票投资决策指标、股票评价的基本模式。 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本章难点：债券投资到期收益率的计算、零成长股票价值、固定成长股票价值、非固定成长股票价值模型的计算。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1、ABC公司欲投资购买债券，目前有三家公司债券可供选择： 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（1）A公司债券，债券面值为1000元，5年期，票面利率为8%，每年付息一次，到期还本，债券的发行价格为1105元，若投资人要求的必要收益率为6%，则A公司债券的价值与到期收益率为多少？应否购买？ 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（2）B公司债券，债券面值为1000元，5年期，票面利率为8%，单利计息，到期一次还本付息，债券的发行价格为1105元，若投资人要求的必要收益率为6%，则B公司债券的价值与到期收益率为多少？应否购买？ 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C公司债券，债券面值为1000元，5年期，票面利率为8%，C公司采用贴现法付息，发行价格为600元，期内不付息，到期还本，若投资人要求的必要收益率为6%，则C公司债券的价值与到期收益率为多少？应否购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（4）若ABC公司持有B公司债券2年后，将其以1200元的价格出售，则投资报酬率为多少？ 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假设你是某公司的财务顾问，该公司计划利用一笔长期资金投资购买股票。现有M公司股票和N公司股票可供选择，现在公司只准备投资一家公司的股票。已知M公司股票现行市价为9元/股，上年每股股利为0.15元，预计以后每年以6%的增长率增长；N公司股票现行市价为32元/股，上年每股股利为0.60元，预计该公司未来3年股利将高速增长，成长率为10%，在此以后转为正常增长，增长率为6%。现在公司所要求的投资必要报酬率为8%。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（已知：（p/s,8%,1）=0.9259；（p/s,8%,2）=0.8573；（p/s,8%,3）=0.7938） 要求：你作为公司的财务顾问帮助该企业作出股票投资的决策。 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如何进行证券投资决策？有哪些指标？</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680" w:firstLineChars="800"/>
        <w:jc w:val="both"/>
        <w:textAlignment w:val="auto"/>
        <w:rPr>
          <w:rFonts w:hint="eastAsia" w:asciiTheme="minorEastAsia" w:hAnsiTheme="minorEastAsia" w:cstheme="minorEastAsia"/>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687" w:firstLineChars="8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b/>
          <w:bCs/>
          <w:sz w:val="21"/>
          <w:szCs w:val="21"/>
          <w:lang w:val="en-US" w:eastAsia="zh-CN"/>
        </w:rPr>
        <w:t>第七章  流动资产管理（授课2学时）</w:t>
      </w:r>
      <w:r>
        <w:rPr>
          <w:rFonts w:hint="eastAsia" w:asciiTheme="minorEastAsia" w:hAnsiTheme="minorEastAsia" w:cstheme="minorEastAsia"/>
          <w:sz w:val="21"/>
          <w:szCs w:val="21"/>
          <w:lang w:val="en-US" w:eastAsia="zh-CN"/>
        </w:rPr>
        <w:t>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通过本章的学习，要求学生掌握流动资产在进行管理过程中如何实现在保持流动性的同时最大限度的提到资产的盈利性。并区别流动资产管理与长期资产管理的侧重点。 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1.流动资产管理概述：（1）流动资产的特点；（2）流动资产的周转；</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2730" w:firstLineChars="1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（3）流动资产管理的要求。 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2.货币资金管理：（1）货币资金管理的意义；（2）货币资金的日常管理；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（3）货币资金的控制；（4）货币资金最隹持有量的确定。 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3.应收款项管理：（1）应收款项概述；（2）应收帐款发生的控制；</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2310" w:firstLineChars="1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（3）信用政策的确定。 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4.存货管理（1）存货管理概述；（2）存货的日常管理 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680" w:firstLineChars="8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（3）基本模型下的存货决策；（4）扩展条件下的存货决策。 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840" w:firstLineChars="4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本章重点：应收帐款的管理、存货管理。 本章难点：存货管理的扩展模型。 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1.现金管理的基本策略。 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2.应收帐款机会成本的含义。 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3.存货成本的主要内容。 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050" w:firstLineChars="5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4.名词解释：现金浮游量、再订货点。 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（五）说明 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本章除课堂讲授外，还需4学时的实验教学，主要是要求学生利用存货管理的几种模型，进行模拟最佳存货决策。</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897" w:firstLineChars="900"/>
        <w:jc w:val="both"/>
        <w:textAlignment w:val="auto"/>
        <w:rPr>
          <w:rFonts w:hint="eastAsia" w:asciiTheme="minorEastAsia" w:hAnsiTheme="minorEastAsia" w:cstheme="minorEastAsia"/>
          <w:b/>
          <w:bCs/>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897" w:firstLineChars="900"/>
        <w:jc w:val="both"/>
        <w:textAlignment w:val="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第八章  盈余管理（2学时） 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（一）本章的基本要求 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重点掌握利润分配中的有关规定、股利理论和股利分配政策、股票股利等有关内容；掌握股利的支付程序和股利支付方式等有关内容；了解股票分割的有关内容等。 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（二）课程内容 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1.销售收入管理。 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2.利润的预测和计划。 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3.利润分配：（1）利润分配的原则；（2）利润分配的一般内容；（3）利润分配政策。 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4.股票股利。 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（三）本章的重点、难点 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本章重点：利润分配政策。 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本章难点：销售收入的预测方法，即移动加权平均法、回归分析法、散点图法和高低点法。 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（四）思考题  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1.简述利润分配的顺序。 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2.简述几种利润分配政策的优缺点。 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3.发放股票股利的影响。</w:t>
      </w:r>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140" w:leftChars="0" w:right="0" w:rightChars="0"/>
        <w:outlineLvl w:val="0"/>
        <w:rPr>
          <w:rFonts w:hint="eastAsia" w:asciiTheme="minorEastAsia" w:hAnsiTheme="minorEastAsia" w:cstheme="minorEastAsia"/>
          <w:b/>
          <w:bCs/>
          <w:color w:val="auto"/>
          <w:sz w:val="24"/>
          <w:szCs w:val="24"/>
          <w:lang w:val="en-US" w:eastAsia="zh-CN"/>
        </w:rPr>
      </w:pPr>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140"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四、推荐教材和参考考书 </w:t>
      </w:r>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617" w:leftChars="294" w:right="0" w:rightChars="0" w:firstLine="0" w:firstLineChars="0"/>
        <w:outlineLvl w:val="0"/>
        <w:rPr>
          <w:rFonts w:hint="eastAsia" w:asciiTheme="minorEastAsia" w:hAnsiTheme="minorEastAsia" w:cstheme="minorEastAsia"/>
          <w:b w:val="0"/>
          <w:b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1.端木青，</w:t>
      </w:r>
      <w:r>
        <w:rPr>
          <w:rFonts w:hint="eastAsia" w:asciiTheme="minorEastAsia" w:hAnsiTheme="minorEastAsia" w:cstheme="minorEastAsia"/>
          <w:b w:val="0"/>
          <w:bCs w:val="0"/>
          <w:strike w:val="0"/>
          <w:dstrike w:val="0"/>
          <w:color w:val="auto"/>
          <w:sz w:val="22"/>
          <w:szCs w:val="22"/>
          <w:u w:val="single" w:color="FF0000"/>
          <w:lang w:val="en-US" w:eastAsia="zh-CN"/>
        </w:rPr>
        <w:t>《财务管理学》</w:t>
      </w:r>
      <w:r>
        <w:rPr>
          <w:rFonts w:hint="eastAsia" w:asciiTheme="minorEastAsia" w:hAnsiTheme="minorEastAsia" w:cstheme="minorEastAsia"/>
          <w:b w:val="0"/>
          <w:bCs w:val="0"/>
          <w:color w:val="auto"/>
          <w:sz w:val="22"/>
          <w:szCs w:val="22"/>
          <w:lang w:val="en-US" w:eastAsia="zh-CN"/>
        </w:rPr>
        <w:t>，浙江大学出比社，2006年7月第2次印刷 </w:t>
      </w:r>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617" w:leftChars="294" w:right="0" w:rightChars="0" w:firstLine="0" w:firstLineChars="0"/>
        <w:outlineLvl w:val="0"/>
        <w:rPr>
          <w:rFonts w:hint="eastAsia" w:asciiTheme="minorEastAsia" w:hAnsiTheme="minorEastAsia" w:cstheme="minorEastAsia"/>
          <w:b w:val="0"/>
          <w:b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2.荆新、王化成，</w:t>
      </w:r>
      <w:r>
        <w:rPr>
          <w:rFonts w:hint="eastAsia" w:asciiTheme="minorEastAsia" w:hAnsiTheme="minorEastAsia" w:cstheme="minorEastAsia"/>
          <w:b w:val="0"/>
          <w:bCs w:val="0"/>
          <w:strike w:val="0"/>
          <w:dstrike w:val="0"/>
          <w:color w:val="auto"/>
          <w:sz w:val="22"/>
          <w:szCs w:val="22"/>
          <w:u w:val="single" w:color="FF0000"/>
          <w:lang w:val="en-US" w:eastAsia="zh-CN"/>
        </w:rPr>
        <w:t>《财务管理学》</w:t>
      </w:r>
      <w:r>
        <w:rPr>
          <w:rFonts w:hint="eastAsia" w:asciiTheme="minorEastAsia" w:hAnsiTheme="minorEastAsia" w:cstheme="minorEastAsia"/>
          <w:b w:val="0"/>
          <w:bCs w:val="0"/>
          <w:color w:val="auto"/>
          <w:sz w:val="22"/>
          <w:szCs w:val="22"/>
          <w:lang w:val="en-US" w:eastAsia="zh-CN"/>
        </w:rPr>
        <w:t>，中国人民大学出版社，2005年7月第10次印刷 </w:t>
      </w:r>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140" w:leftChars="0" w:right="0" w:rightChars="0" w:firstLine="440" w:firstLineChars="200"/>
        <w:outlineLvl w:val="0"/>
        <w:rPr>
          <w:rFonts w:hint="eastAsia" w:asciiTheme="minorEastAsia" w:hAnsiTheme="minorEastAsia" w:cstheme="minorEastAsia"/>
          <w:b w:val="0"/>
          <w:b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3.谷祺、夏乐书，</w:t>
      </w:r>
      <w:r>
        <w:rPr>
          <w:rFonts w:hint="eastAsia" w:asciiTheme="minorEastAsia" w:hAnsiTheme="minorEastAsia" w:cstheme="minorEastAsia"/>
          <w:b w:val="0"/>
          <w:bCs w:val="0"/>
          <w:strike w:val="0"/>
          <w:dstrike w:val="0"/>
          <w:color w:val="auto"/>
          <w:sz w:val="22"/>
          <w:szCs w:val="22"/>
          <w:u w:val="single" w:color="FF0000"/>
          <w:lang w:val="en-US" w:eastAsia="zh-CN"/>
        </w:rPr>
        <w:t>《财务管理学》</w:t>
      </w:r>
      <w:r>
        <w:rPr>
          <w:rFonts w:hint="eastAsia" w:asciiTheme="minorEastAsia" w:hAnsiTheme="minorEastAsia" w:cstheme="minorEastAsia"/>
          <w:b w:val="0"/>
          <w:bCs w:val="0"/>
          <w:color w:val="auto"/>
          <w:sz w:val="22"/>
          <w:szCs w:val="22"/>
          <w:lang w:val="en-US" w:eastAsia="zh-CN"/>
        </w:rPr>
        <w:t>，东北财经大学出版社 </w:t>
      </w:r>
      <w:bookmarkStart w:id="0" w:name="_GoBack"/>
      <w:bookmarkEnd w:id="0"/>
    </w:p>
    <w:p>
      <w:pPr>
        <w:pStyle w:val="2"/>
        <w:keepNext w:val="0"/>
        <w:keepLines w:val="0"/>
        <w:widowControl/>
        <w:numPr>
          <w:ilvl w:val="0"/>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140" w:leftChars="0" w:right="0" w:rightChars="0" w:firstLine="440" w:firstLineChars="200"/>
        <w:outlineLvl w:val="0"/>
        <w:rPr>
          <w:rFonts w:hint="eastAsia" w:cs="宋体"/>
          <w:b w:val="0"/>
          <w:bCs w:val="0"/>
          <w:i w:val="0"/>
          <w:caps w:val="0"/>
          <w:color w:val="018BCC"/>
          <w:spacing w:val="0"/>
          <w:sz w:val="20"/>
          <w:szCs w:val="20"/>
          <w:lang w:val="en-US" w:eastAsia="zh-CN"/>
        </w:rPr>
      </w:pPr>
      <w:r>
        <w:rPr>
          <w:rFonts w:hint="eastAsia" w:asciiTheme="minorEastAsia" w:hAnsiTheme="minorEastAsia" w:cstheme="minorEastAsia"/>
          <w:b w:val="0"/>
          <w:bCs w:val="0"/>
          <w:color w:val="auto"/>
          <w:sz w:val="22"/>
          <w:szCs w:val="22"/>
          <w:lang w:val="en-US" w:eastAsia="zh-CN"/>
        </w:rPr>
        <w:t>4.周中惠主编，</w:t>
      </w:r>
      <w:r>
        <w:rPr>
          <w:rFonts w:hint="eastAsia" w:asciiTheme="minorEastAsia" w:hAnsiTheme="minorEastAsia" w:cstheme="minorEastAsia"/>
          <w:b w:val="0"/>
          <w:bCs w:val="0"/>
          <w:strike w:val="0"/>
          <w:dstrike w:val="0"/>
          <w:color w:val="auto"/>
          <w:sz w:val="22"/>
          <w:szCs w:val="22"/>
          <w:u w:val="single" w:color="FF0000"/>
          <w:lang w:val="en-US" w:eastAsia="zh-CN"/>
        </w:rPr>
        <w:t>《财务管理》</w:t>
      </w:r>
      <w:r>
        <w:rPr>
          <w:rFonts w:hint="eastAsia" w:asciiTheme="minorEastAsia" w:hAnsiTheme="minorEastAsia" w:cstheme="minorEastAsia"/>
          <w:b w:val="0"/>
          <w:bCs w:val="0"/>
          <w:color w:val="auto"/>
          <w:sz w:val="22"/>
          <w:szCs w:val="22"/>
          <w:lang w:val="en-US" w:eastAsia="zh-CN"/>
        </w:rPr>
        <w:t>，上海三联出版社</w:t>
      </w:r>
    </w:p>
    <w:p>
      <w:pPr>
        <w:numPr>
          <w:ilvl w:val="0"/>
          <w:numId w:val="0"/>
        </w:numPr>
        <w:ind w:left="140" w:leftChars="0"/>
        <w:rPr>
          <w:rFonts w:hint="default"/>
          <w:sz w:val="20"/>
          <w:szCs w:val="22"/>
          <w:lang w:val="en-US" w:eastAsia="zh-CN"/>
        </w:rPr>
      </w:pPr>
      <w:r>
        <w:rPr>
          <w:rFonts w:hint="eastAsia"/>
          <w:sz w:val="20"/>
          <w:szCs w:val="22"/>
          <w:lang w:val="en-US" w:eastAsia="zh-CN"/>
        </w:rPr>
        <w:t xml:space="preserve">    </w:t>
      </w:r>
    </w:p>
    <w:p>
      <w:pPr>
        <w:numPr>
          <w:ilvl w:val="0"/>
          <w:numId w:val="0"/>
        </w:numPr>
        <w:ind w:left="140" w:leftChars="0"/>
        <w:rPr>
          <w:rFonts w:hint="eastAsia"/>
          <w:b/>
          <w:b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04121"/>
    <w:multiLevelType w:val="singleLevel"/>
    <w:tmpl w:val="91E04121"/>
    <w:lvl w:ilvl="0" w:tentative="0">
      <w:start w:val="1"/>
      <w:numFmt w:val="chineseCounting"/>
      <w:suff w:val="nothing"/>
      <w:lvlText w:val="（%1）"/>
      <w:lvlJc w:val="left"/>
      <w:rPr>
        <w:rFonts w:hint="eastAsia"/>
      </w:rPr>
    </w:lvl>
  </w:abstractNum>
  <w:abstractNum w:abstractNumId="1">
    <w:nsid w:val="CD9C2B91"/>
    <w:multiLevelType w:val="singleLevel"/>
    <w:tmpl w:val="CD9C2B91"/>
    <w:lvl w:ilvl="0" w:tentative="0">
      <w:start w:val="1"/>
      <w:numFmt w:val="decimal"/>
      <w:lvlText w:val="%1."/>
      <w:lvlJc w:val="left"/>
      <w:pPr>
        <w:tabs>
          <w:tab w:val="left" w:pos="312"/>
        </w:tabs>
      </w:pPr>
    </w:lvl>
  </w:abstractNum>
  <w:abstractNum w:abstractNumId="2">
    <w:nsid w:val="1FA4E0CE"/>
    <w:multiLevelType w:val="singleLevel"/>
    <w:tmpl w:val="1FA4E0CE"/>
    <w:lvl w:ilvl="0" w:tentative="0">
      <w:start w:val="4"/>
      <w:numFmt w:val="chineseCounting"/>
      <w:suff w:val="nothing"/>
      <w:lvlText w:val="（%1）"/>
      <w:lvlJc w:val="left"/>
      <w:rPr>
        <w:rFonts w:hint="eastAsia"/>
      </w:rPr>
    </w:lvl>
  </w:abstractNum>
  <w:abstractNum w:abstractNumId="3">
    <w:nsid w:val="24B3B661"/>
    <w:multiLevelType w:val="singleLevel"/>
    <w:tmpl w:val="24B3B661"/>
    <w:lvl w:ilvl="0" w:tentative="0">
      <w:start w:val="1"/>
      <w:numFmt w:val="chineseCounting"/>
      <w:suff w:val="nothing"/>
      <w:lvlText w:val="%1、"/>
      <w:lvlJc w:val="left"/>
      <w:rPr>
        <w:rFonts w:hint="eastAsia"/>
      </w:rPr>
    </w:lvl>
  </w:abstractNum>
  <w:abstractNum w:abstractNumId="4">
    <w:nsid w:val="2AD98AF0"/>
    <w:multiLevelType w:val="singleLevel"/>
    <w:tmpl w:val="2AD98AF0"/>
    <w:lvl w:ilvl="0" w:tentative="0">
      <w:start w:val="1"/>
      <w:numFmt w:val="decimal"/>
      <w:suff w:val="nothing"/>
      <w:lvlText w:val="%1．"/>
      <w:lvlJc w:val="left"/>
    </w:lvl>
  </w:abstractNum>
  <w:abstractNum w:abstractNumId="5">
    <w:nsid w:val="55362046"/>
    <w:multiLevelType w:val="singleLevel"/>
    <w:tmpl w:val="55362046"/>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85C50"/>
    <w:rsid w:val="0E1A594B"/>
    <w:rsid w:val="130D1DBB"/>
    <w:rsid w:val="1B264BDA"/>
    <w:rsid w:val="39006081"/>
    <w:rsid w:val="3A292582"/>
    <w:rsid w:val="4F273C86"/>
    <w:rsid w:val="57A91E16"/>
    <w:rsid w:val="5B982E5D"/>
    <w:rsid w:val="5F985C50"/>
    <w:rsid w:val="66546474"/>
    <w:rsid w:val="6A3023E3"/>
    <w:rsid w:val="6F31139C"/>
    <w:rsid w:val="7312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样式 样式 (中文) 黑体 四号 段后: 3.9 磅 行距: 固定值 20 磅 + 段前: 0.5 行 段后: 0.5 行"/>
    <w:basedOn w:val="9"/>
    <w:qFormat/>
    <w:uiPriority w:val="0"/>
    <w:rPr>
      <w:bCs/>
    </w:rPr>
  </w:style>
  <w:style w:type="paragraph" w:customStyle="1" w:styleId="9">
    <w:name w:val="样式 (中文) 黑体 四号 段后: 3.9 磅 行距: 固定值 20 磅"/>
    <w:basedOn w:val="1"/>
    <w:qFormat/>
    <w:uiPriority w:val="0"/>
    <w:pPr>
      <w:spacing w:before="50" w:beforeLines="50" w:after="50" w:afterLines="50" w:line="400" w:lineRule="exact"/>
      <w:jc w:val="left"/>
    </w:pPr>
    <w:rPr>
      <w:rFonts w:cs="宋体"/>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2019-01-14T02:45:00Z</dcterms:created>
  <dc:creator>admin</dc:creator>
  <cp:lastModifiedBy>秋田</cp:lastModifiedBy>
  <dcterms:modified xsi:type="dcterms:W3CDTF">2019-07-05T07:02:17Z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